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24" w:rsidRDefault="00C53624" w:rsidP="003554EB">
      <w:pPr>
        <w:jc w:val="both"/>
        <w:rPr>
          <w:rFonts w:cs="Times New Roman"/>
          <w:b/>
          <w:color w:val="000000" w:themeColor="text1"/>
          <w:sz w:val="24"/>
          <w:szCs w:val="24"/>
          <w:lang w:val="en-US"/>
        </w:rPr>
      </w:pPr>
      <w:r>
        <w:rPr>
          <w:rFonts w:cs="Times New Roman"/>
          <w:b/>
          <w:color w:val="000000" w:themeColor="text1"/>
          <w:sz w:val="24"/>
          <w:szCs w:val="24"/>
          <w:lang w:val="en-US"/>
        </w:rPr>
        <w:t>Tender wording that requires only CASC Companies as bidders:</w:t>
      </w:r>
    </w:p>
    <w:p w:rsidR="00C53624" w:rsidRDefault="00C53624" w:rsidP="003554EB">
      <w:pPr>
        <w:jc w:val="both"/>
        <w:rPr>
          <w:rFonts w:cs="Times New Roman"/>
          <w:b/>
          <w:color w:val="000000" w:themeColor="text1"/>
          <w:sz w:val="24"/>
          <w:szCs w:val="24"/>
          <w:lang w:val="en-US"/>
        </w:rPr>
      </w:pPr>
    </w:p>
    <w:p w:rsidR="003554EB" w:rsidRPr="00010228" w:rsidRDefault="00C53624" w:rsidP="003554EB">
      <w:pPr>
        <w:jc w:val="both"/>
        <w:rPr>
          <w:rFonts w:cs="Times New Roman"/>
          <w:b/>
          <w:color w:val="000000" w:themeColor="text1"/>
          <w:sz w:val="24"/>
          <w:szCs w:val="24"/>
          <w:lang w:val="en-US"/>
        </w:rPr>
      </w:pPr>
      <w:r>
        <w:rPr>
          <w:rFonts w:cs="Times New Roman"/>
          <w:b/>
          <w:color w:val="000000" w:themeColor="text1"/>
          <w:sz w:val="24"/>
          <w:szCs w:val="24"/>
          <w:lang w:val="en-US"/>
        </w:rPr>
        <w:t>Long Form</w:t>
      </w:r>
    </w:p>
    <w:p w:rsidR="003554EB" w:rsidRPr="00010228" w:rsidRDefault="00792AED" w:rsidP="003554EB">
      <w:pPr>
        <w:jc w:val="both"/>
        <w:rPr>
          <w:rFonts w:cs="Times New Roman"/>
          <w:color w:val="000000" w:themeColor="text1"/>
          <w:sz w:val="24"/>
          <w:szCs w:val="24"/>
          <w:lang w:val="en-US"/>
        </w:rPr>
      </w:pPr>
    </w:p>
    <w:p w:rsidR="003554EB" w:rsidRPr="00010228" w:rsidRDefault="00C53624" w:rsidP="003554EB">
      <w:pPr>
        <w:jc w:val="both"/>
        <w:rPr>
          <w:rFonts w:cs="Times New Roman"/>
          <w:color w:val="000000" w:themeColor="text1"/>
          <w:sz w:val="24"/>
          <w:szCs w:val="24"/>
          <w:lang w:val="en-US"/>
        </w:rPr>
      </w:pPr>
      <w:r>
        <w:rPr>
          <w:rFonts w:cs="Times New Roman"/>
          <w:color w:val="000000" w:themeColor="text1"/>
          <w:sz w:val="24"/>
          <w:szCs w:val="24"/>
          <w:lang w:val="en-US"/>
        </w:rPr>
        <w:t xml:space="preserve">Each prospective bidder is required to be an accredited or conditionally accredited (subject to the terms below) company in good standing of the Canadian Security Association’s Canadian Accredited Security Contractor (CASC) program at the time bids are submitted and shall commit to maintaining CASC accreditation throughout the duration of the term of the contract contemplated by this Request for Tenders </w:t>
      </w:r>
      <w:r w:rsidRPr="00010228">
        <w:rPr>
          <w:color w:val="000000" w:themeColor="text1"/>
          <w:sz w:val="24"/>
          <w:szCs w:val="24"/>
        </w:rPr>
        <w:t>[</w:t>
      </w:r>
      <w:r w:rsidRPr="00010228">
        <w:rPr>
          <w:rFonts w:ascii="Wingdings" w:hAnsi="Wingdings"/>
          <w:color w:val="000000" w:themeColor="text1"/>
          <w:sz w:val="24"/>
          <w:szCs w:val="24"/>
        </w:rPr>
        <w:sym w:font="Wingdings" w:char="F06C"/>
      </w:r>
      <w:r w:rsidRPr="00010228">
        <w:rPr>
          <w:color w:val="000000" w:themeColor="text1"/>
          <w:sz w:val="24"/>
          <w:szCs w:val="24"/>
        </w:rPr>
        <w:t>]</w:t>
      </w:r>
      <w:r>
        <w:rPr>
          <w:color w:val="000000" w:themeColor="text1"/>
          <w:sz w:val="24"/>
          <w:szCs w:val="24"/>
        </w:rPr>
        <w:t xml:space="preserve"> </w:t>
      </w:r>
      <w:r w:rsidRPr="00010228">
        <w:rPr>
          <w:rFonts w:cs="Times New Roman"/>
          <w:b/>
          <w:color w:val="000000" w:themeColor="text1"/>
          <w:sz w:val="24"/>
          <w:szCs w:val="24"/>
        </w:rPr>
        <w:t>[Note to Draft: Ensure that the term of the contract is defined to include any period in which the bidder will provide warranty services.]</w:t>
      </w:r>
      <w:r w:rsidRPr="00010228">
        <w:rPr>
          <w:rFonts w:cs="Times New Roman"/>
          <w:color w:val="000000" w:themeColor="text1"/>
          <w:sz w:val="24"/>
          <w:szCs w:val="24"/>
          <w:lang w:val="en-US"/>
        </w:rPr>
        <w:t xml:space="preserve">. Bids must include supporting documentation in the form of either: </w:t>
      </w:r>
    </w:p>
    <w:p w:rsidR="003554EB" w:rsidRPr="00010228" w:rsidRDefault="00792AED" w:rsidP="003554EB">
      <w:pPr>
        <w:jc w:val="both"/>
        <w:rPr>
          <w:rFonts w:cs="Times New Roman"/>
          <w:color w:val="000000" w:themeColor="text1"/>
          <w:sz w:val="24"/>
          <w:szCs w:val="24"/>
          <w:lang w:val="en-US"/>
        </w:rPr>
      </w:pPr>
    </w:p>
    <w:p w:rsidR="003554EB" w:rsidRPr="00010228" w:rsidRDefault="00C53624" w:rsidP="003554EB">
      <w:pPr>
        <w:pStyle w:val="ListParagraph"/>
        <w:numPr>
          <w:ilvl w:val="0"/>
          <w:numId w:val="1"/>
        </w:numPr>
        <w:spacing w:after="0" w:line="240" w:lineRule="auto"/>
        <w:rPr>
          <w:rFonts w:ascii="Calibri" w:hAnsi="Calibri"/>
          <w:color w:val="000000" w:themeColor="text1"/>
          <w:sz w:val="24"/>
          <w:szCs w:val="24"/>
        </w:rPr>
      </w:pPr>
      <w:r w:rsidRPr="00010228">
        <w:rPr>
          <w:rFonts w:ascii="Calibri" w:hAnsi="Calibri"/>
          <w:color w:val="000000" w:themeColor="text1"/>
          <w:sz w:val="24"/>
          <w:szCs w:val="24"/>
        </w:rPr>
        <w:t xml:space="preserve">a copy of the prospective bidder’s current and valid CASC accreditation certificate, in the case of accredited CASC Companies; or </w:t>
      </w:r>
    </w:p>
    <w:p w:rsidR="003554EB" w:rsidRPr="00010228" w:rsidRDefault="00C53624" w:rsidP="003554EB">
      <w:pPr>
        <w:pStyle w:val="ListParagraph"/>
        <w:numPr>
          <w:ilvl w:val="0"/>
          <w:numId w:val="1"/>
        </w:numPr>
        <w:spacing w:after="0" w:line="240" w:lineRule="auto"/>
        <w:rPr>
          <w:rFonts w:ascii="Calibri" w:hAnsi="Calibri"/>
          <w:color w:val="000000" w:themeColor="text1"/>
          <w:sz w:val="24"/>
          <w:szCs w:val="24"/>
        </w:rPr>
      </w:pPr>
      <w:proofErr w:type="gramStart"/>
      <w:r w:rsidRPr="00010228">
        <w:rPr>
          <w:rFonts w:ascii="Calibri" w:hAnsi="Calibri"/>
          <w:color w:val="000000" w:themeColor="text1"/>
          <w:sz w:val="24"/>
          <w:szCs w:val="24"/>
        </w:rPr>
        <w:t>a</w:t>
      </w:r>
      <w:proofErr w:type="gramEnd"/>
      <w:r w:rsidRPr="00010228">
        <w:rPr>
          <w:rFonts w:ascii="Calibri" w:hAnsi="Calibri"/>
          <w:color w:val="000000" w:themeColor="text1"/>
          <w:sz w:val="24"/>
          <w:szCs w:val="24"/>
        </w:rPr>
        <w:t xml:space="preserve"> letter from </w:t>
      </w:r>
      <w:r w:rsidRPr="00010228">
        <w:rPr>
          <w:rFonts w:ascii="Calibri" w:hAnsi="Calibri"/>
          <w:color w:val="000000" w:themeColor="text1"/>
          <w:sz w:val="24"/>
          <w:szCs w:val="24"/>
          <w:lang w:val="en-CA"/>
        </w:rPr>
        <w:t xml:space="preserve">the Canadian Security Association </w:t>
      </w:r>
      <w:r w:rsidRPr="00010228">
        <w:rPr>
          <w:rFonts w:ascii="Calibri" w:hAnsi="Calibri"/>
          <w:color w:val="000000" w:themeColor="text1"/>
          <w:sz w:val="24"/>
          <w:szCs w:val="24"/>
        </w:rPr>
        <w:t>confirming the prospective bidder’s conditional status, in the case of conditional CASC Companies.</w:t>
      </w:r>
    </w:p>
    <w:p w:rsidR="003554EB" w:rsidRPr="00010228" w:rsidRDefault="00792AED" w:rsidP="003554EB">
      <w:pPr>
        <w:jc w:val="both"/>
        <w:rPr>
          <w:color w:val="000000" w:themeColor="text1"/>
          <w:sz w:val="24"/>
          <w:szCs w:val="24"/>
        </w:rPr>
      </w:pPr>
    </w:p>
    <w:p w:rsidR="003554EB" w:rsidRPr="00010228" w:rsidRDefault="00C53624" w:rsidP="003554EB">
      <w:pPr>
        <w:jc w:val="both"/>
        <w:rPr>
          <w:color w:val="000000" w:themeColor="text1"/>
          <w:sz w:val="24"/>
          <w:szCs w:val="24"/>
        </w:rPr>
      </w:pPr>
      <w:r w:rsidRPr="00010228">
        <w:rPr>
          <w:color w:val="000000" w:themeColor="text1"/>
          <w:sz w:val="24"/>
          <w:szCs w:val="24"/>
        </w:rPr>
        <w:t xml:space="preserve">In the event that the contract contemplated by this </w:t>
      </w:r>
      <w:r w:rsidRPr="00010228">
        <w:rPr>
          <w:color w:val="000000" w:themeColor="text1"/>
          <w:sz w:val="24"/>
          <w:szCs w:val="24"/>
          <w:lang w:val="en-US"/>
        </w:rPr>
        <w:t xml:space="preserve">Request for Tenders </w:t>
      </w:r>
      <w:r w:rsidRPr="00010228">
        <w:rPr>
          <w:color w:val="000000" w:themeColor="text1"/>
          <w:sz w:val="24"/>
          <w:szCs w:val="24"/>
        </w:rPr>
        <w:t>is awarded to a prospective bidder that holds conditional CASC status, the prospective bidder must obtain full CASC accreditation and provide [</w:t>
      </w:r>
      <w:r w:rsidRPr="00010228">
        <w:rPr>
          <w:rFonts w:ascii="Wingdings" w:hAnsi="Wingdings"/>
          <w:color w:val="000000" w:themeColor="text1"/>
          <w:sz w:val="24"/>
          <w:szCs w:val="24"/>
        </w:rPr>
        <w:sym w:font="Wingdings" w:char="F06C"/>
      </w:r>
      <w:r w:rsidRPr="00010228">
        <w:rPr>
          <w:color w:val="000000" w:themeColor="text1"/>
          <w:sz w:val="24"/>
          <w:szCs w:val="24"/>
        </w:rPr>
        <w:t>]</w:t>
      </w:r>
      <w:r>
        <w:rPr>
          <w:color w:val="000000" w:themeColor="text1"/>
          <w:sz w:val="24"/>
          <w:szCs w:val="24"/>
        </w:rPr>
        <w:t xml:space="preserve"> </w:t>
      </w:r>
      <w:r w:rsidRPr="00010228">
        <w:rPr>
          <w:b/>
          <w:color w:val="000000" w:themeColor="text1"/>
          <w:sz w:val="24"/>
          <w:szCs w:val="24"/>
        </w:rPr>
        <w:t>[Note to Draft: Name of the entity soliciting the bids.]</w:t>
      </w:r>
      <w:r w:rsidRPr="00010228">
        <w:rPr>
          <w:color w:val="000000" w:themeColor="text1"/>
          <w:sz w:val="24"/>
          <w:szCs w:val="24"/>
        </w:rPr>
        <w:t xml:space="preserve"> with supporting documentation in the form of a copy of the accreditation certificate within 120 calendar days of [</w:t>
      </w:r>
      <w:r w:rsidRPr="00010228">
        <w:rPr>
          <w:rStyle w:val="Prompt"/>
          <w:rFonts w:ascii="Wingdings" w:hAnsi="Wingdings"/>
        </w:rPr>
        <w:sym w:font="Wingdings" w:char="F06C"/>
      </w:r>
      <w:r w:rsidRPr="00010228">
        <w:rPr>
          <w:color w:val="000000" w:themeColor="text1"/>
          <w:sz w:val="24"/>
          <w:szCs w:val="24"/>
        </w:rPr>
        <w:t xml:space="preserve">] </w:t>
      </w:r>
      <w:r w:rsidRPr="00010228">
        <w:rPr>
          <w:b/>
          <w:color w:val="000000" w:themeColor="text1"/>
          <w:sz w:val="24"/>
          <w:szCs w:val="24"/>
        </w:rPr>
        <w:t>[Note to Draft: The date that the tender process closes.]</w:t>
      </w:r>
      <w:r w:rsidRPr="00010228">
        <w:rPr>
          <w:color w:val="000000" w:themeColor="text1"/>
          <w:sz w:val="24"/>
          <w:szCs w:val="24"/>
        </w:rPr>
        <w:t xml:space="preserve">. </w:t>
      </w:r>
    </w:p>
    <w:p w:rsidR="001E4324" w:rsidRPr="00010228" w:rsidRDefault="00792AED" w:rsidP="003554EB">
      <w:pPr>
        <w:jc w:val="both"/>
        <w:rPr>
          <w:color w:val="000000" w:themeColor="text1"/>
          <w:sz w:val="24"/>
          <w:szCs w:val="24"/>
        </w:rPr>
      </w:pPr>
    </w:p>
    <w:p w:rsidR="006B665F" w:rsidRPr="00792AED" w:rsidRDefault="00C53624" w:rsidP="003554EB">
      <w:pPr>
        <w:jc w:val="both"/>
        <w:rPr>
          <w:color w:val="000000" w:themeColor="text1"/>
          <w:sz w:val="24"/>
          <w:szCs w:val="24"/>
          <w:lang w:val="en-US"/>
        </w:rPr>
      </w:pPr>
      <w:bookmarkStart w:id="0" w:name="_GoBack"/>
      <w:bookmarkEnd w:id="0"/>
      <w:r w:rsidRPr="00792AED">
        <w:rPr>
          <w:color w:val="000000" w:themeColor="text1"/>
          <w:sz w:val="24"/>
          <w:szCs w:val="24"/>
        </w:rPr>
        <w:t>Failure to obtain full CASC accreditation within such 120 calendar day period will disqualify the prospective bidder and render the prospective bidder’s tender void. If a prospective bidder is so disqualified [</w:t>
      </w:r>
      <w:r w:rsidRPr="00792AED">
        <w:rPr>
          <w:rFonts w:ascii="Wingdings" w:hAnsi="Wingdings"/>
          <w:color w:val="000000" w:themeColor="text1"/>
          <w:sz w:val="24"/>
          <w:szCs w:val="24"/>
        </w:rPr>
        <w:sym w:font="Wingdings" w:char="F06C"/>
      </w:r>
      <w:r w:rsidRPr="00792AED">
        <w:rPr>
          <w:color w:val="000000" w:themeColor="text1"/>
          <w:sz w:val="24"/>
          <w:szCs w:val="24"/>
        </w:rPr>
        <w:t xml:space="preserve">] </w:t>
      </w:r>
      <w:r w:rsidRPr="00792AED">
        <w:rPr>
          <w:b/>
          <w:color w:val="000000" w:themeColor="text1"/>
          <w:sz w:val="24"/>
          <w:szCs w:val="24"/>
        </w:rPr>
        <w:t xml:space="preserve">[Note to Draft: Name of the entity soliciting the bids.] </w:t>
      </w:r>
      <w:r w:rsidRPr="00792AED">
        <w:rPr>
          <w:color w:val="000000" w:themeColor="text1"/>
          <w:sz w:val="24"/>
          <w:szCs w:val="24"/>
        </w:rPr>
        <w:t>may, in its discretion</w:t>
      </w:r>
      <w:r w:rsidRPr="00792AED">
        <w:rPr>
          <w:color w:val="000000" w:themeColor="text1"/>
          <w:sz w:val="24"/>
          <w:szCs w:val="24"/>
          <w:lang w:val="en-US"/>
        </w:rPr>
        <w:t xml:space="preserve">, award the contract to another eligible bidder. </w:t>
      </w:r>
    </w:p>
    <w:p w:rsidR="006B665F" w:rsidRPr="00792AED" w:rsidRDefault="00792AED" w:rsidP="003554EB">
      <w:pPr>
        <w:jc w:val="both"/>
        <w:rPr>
          <w:color w:val="000000" w:themeColor="text1"/>
          <w:sz w:val="24"/>
          <w:szCs w:val="24"/>
          <w:lang w:val="en-US"/>
        </w:rPr>
      </w:pPr>
    </w:p>
    <w:p w:rsidR="003554EB" w:rsidRPr="00010228" w:rsidRDefault="00C53624" w:rsidP="003554EB">
      <w:pPr>
        <w:jc w:val="both"/>
        <w:rPr>
          <w:b/>
          <w:color w:val="000000" w:themeColor="text1"/>
          <w:sz w:val="24"/>
          <w:szCs w:val="24"/>
        </w:rPr>
      </w:pPr>
      <w:r w:rsidRPr="00792AED">
        <w:rPr>
          <w:color w:val="000000" w:themeColor="text1"/>
          <w:sz w:val="24"/>
          <w:szCs w:val="24"/>
        </w:rPr>
        <w:t>[</w:t>
      </w:r>
      <w:r w:rsidRPr="00792AED">
        <w:rPr>
          <w:rFonts w:ascii="Wingdings" w:hAnsi="Wingdings"/>
          <w:color w:val="000000" w:themeColor="text1"/>
          <w:sz w:val="24"/>
          <w:szCs w:val="24"/>
        </w:rPr>
        <w:sym w:font="Wingdings" w:char="F06C"/>
      </w:r>
      <w:r w:rsidRPr="00792AED">
        <w:rPr>
          <w:color w:val="000000" w:themeColor="text1"/>
          <w:sz w:val="24"/>
          <w:szCs w:val="24"/>
        </w:rPr>
        <w:t xml:space="preserve">] </w:t>
      </w:r>
      <w:r w:rsidRPr="00792AED">
        <w:rPr>
          <w:b/>
          <w:color w:val="000000" w:themeColor="text1"/>
          <w:sz w:val="24"/>
          <w:szCs w:val="24"/>
        </w:rPr>
        <w:t xml:space="preserve">[Note to Draft: Name of the entity soliciting the bids.] </w:t>
      </w:r>
      <w:proofErr w:type="gramStart"/>
      <w:r w:rsidRPr="00792AED">
        <w:rPr>
          <w:color w:val="000000" w:themeColor="text1"/>
          <w:sz w:val="24"/>
          <w:szCs w:val="24"/>
        </w:rPr>
        <w:t>will</w:t>
      </w:r>
      <w:proofErr w:type="gramEnd"/>
      <w:r w:rsidRPr="00792AED">
        <w:rPr>
          <w:color w:val="000000" w:themeColor="text1"/>
          <w:sz w:val="24"/>
          <w:szCs w:val="24"/>
        </w:rPr>
        <w:t xml:space="preserve"> have the right to verify information received and, for that purpose, the prospective bidder consents to the release of such information to</w:t>
      </w:r>
      <w:r w:rsidRPr="00792AED">
        <w:rPr>
          <w:b/>
          <w:color w:val="000000" w:themeColor="text1"/>
          <w:sz w:val="24"/>
          <w:szCs w:val="24"/>
        </w:rPr>
        <w:t xml:space="preserve"> </w:t>
      </w:r>
      <w:r w:rsidRPr="00792AED">
        <w:rPr>
          <w:color w:val="000000" w:themeColor="text1"/>
          <w:sz w:val="24"/>
          <w:szCs w:val="24"/>
        </w:rPr>
        <w:t>[</w:t>
      </w:r>
      <w:r w:rsidRPr="00792AED">
        <w:rPr>
          <w:rFonts w:ascii="Wingdings" w:hAnsi="Wingdings"/>
          <w:color w:val="000000" w:themeColor="text1"/>
          <w:sz w:val="24"/>
          <w:szCs w:val="24"/>
        </w:rPr>
        <w:sym w:font="Wingdings" w:char="F06C"/>
      </w:r>
      <w:r w:rsidRPr="00792AED">
        <w:rPr>
          <w:color w:val="000000" w:themeColor="text1"/>
          <w:sz w:val="24"/>
          <w:szCs w:val="24"/>
        </w:rPr>
        <w:t>]</w:t>
      </w:r>
      <w:r w:rsidRPr="00792AED">
        <w:rPr>
          <w:b/>
          <w:color w:val="000000" w:themeColor="text1"/>
          <w:sz w:val="24"/>
          <w:szCs w:val="24"/>
        </w:rPr>
        <w:t>[Note to Draft: Name of the entity soliciting the bids.]</w:t>
      </w:r>
      <w:r w:rsidRPr="00792AED">
        <w:rPr>
          <w:color w:val="000000" w:themeColor="text1"/>
          <w:sz w:val="24"/>
          <w:szCs w:val="24"/>
        </w:rPr>
        <w:t>.</w:t>
      </w:r>
    </w:p>
    <w:p w:rsidR="001E4324" w:rsidRPr="00010228" w:rsidRDefault="00792AED" w:rsidP="003554EB">
      <w:pPr>
        <w:jc w:val="both"/>
        <w:rPr>
          <w:b/>
          <w:color w:val="000000" w:themeColor="text1"/>
          <w:sz w:val="24"/>
          <w:szCs w:val="24"/>
        </w:rPr>
      </w:pPr>
    </w:p>
    <w:p w:rsidR="003554EB" w:rsidRPr="00010228" w:rsidRDefault="00792AED" w:rsidP="003554EB">
      <w:pPr>
        <w:rPr>
          <w:rFonts w:cs="Times New Roman"/>
          <w:b/>
          <w:color w:val="000000" w:themeColor="text1"/>
          <w:sz w:val="24"/>
          <w:szCs w:val="24"/>
          <w:lang w:val="en-US"/>
        </w:rPr>
      </w:pPr>
    </w:p>
    <w:p w:rsidR="00B23953" w:rsidRPr="00010228" w:rsidRDefault="00792AED" w:rsidP="003554EB">
      <w:pPr>
        <w:rPr>
          <w:rFonts w:cs="Times New Roman"/>
          <w:b/>
          <w:color w:val="000000" w:themeColor="text1"/>
          <w:sz w:val="24"/>
          <w:szCs w:val="24"/>
          <w:lang w:val="en-US"/>
        </w:rPr>
      </w:pPr>
      <w:r>
        <w:rPr>
          <w:rFonts w:cs="Times New Roman"/>
          <w:b/>
          <w:color w:val="000000" w:themeColor="text1"/>
          <w:sz w:val="24"/>
          <w:szCs w:val="24"/>
          <w:lang w:val="en-US"/>
        </w:rPr>
        <w:pict>
          <v:rect id="_x0000_i1025" style="width:0;height:1.5pt" o:hralign="center" o:hrstd="t" o:hr="t" fillcolor="#a0a0a0" stroked="f"/>
        </w:pict>
      </w:r>
    </w:p>
    <w:p w:rsidR="00B23953" w:rsidRPr="00010228" w:rsidRDefault="00792AED" w:rsidP="003554EB">
      <w:pPr>
        <w:rPr>
          <w:rFonts w:cs="Times New Roman"/>
          <w:b/>
          <w:color w:val="000000" w:themeColor="text1"/>
          <w:sz w:val="24"/>
          <w:szCs w:val="24"/>
          <w:lang w:val="en-US"/>
        </w:rPr>
      </w:pPr>
    </w:p>
    <w:p w:rsidR="003554EB" w:rsidRPr="00010228" w:rsidRDefault="00C53624" w:rsidP="003554EB">
      <w:pPr>
        <w:rPr>
          <w:rFonts w:cs="Times New Roman"/>
          <w:b/>
          <w:color w:val="000000" w:themeColor="text1"/>
          <w:sz w:val="24"/>
          <w:szCs w:val="24"/>
          <w:lang w:val="en-US"/>
        </w:rPr>
      </w:pPr>
      <w:r>
        <w:rPr>
          <w:rFonts w:cs="Times New Roman"/>
          <w:b/>
          <w:color w:val="000000" w:themeColor="text1"/>
          <w:sz w:val="24"/>
          <w:szCs w:val="24"/>
          <w:lang w:val="en-US"/>
        </w:rPr>
        <w:t>Short Form</w:t>
      </w:r>
    </w:p>
    <w:p w:rsidR="003554EB" w:rsidRPr="00010228" w:rsidRDefault="00792AED" w:rsidP="003554EB">
      <w:pPr>
        <w:rPr>
          <w:rFonts w:cs="Times New Roman"/>
          <w:color w:val="000000" w:themeColor="text1"/>
          <w:sz w:val="24"/>
          <w:szCs w:val="24"/>
          <w:lang w:val="en-US"/>
        </w:rPr>
      </w:pPr>
    </w:p>
    <w:p w:rsidR="003554EB" w:rsidRPr="00010228" w:rsidRDefault="00C53624" w:rsidP="003554EB">
      <w:pPr>
        <w:rPr>
          <w:rFonts w:cs="Times New Roman"/>
          <w:color w:val="000000" w:themeColor="text1"/>
          <w:sz w:val="24"/>
          <w:szCs w:val="24"/>
          <w:lang w:val="en-US"/>
        </w:rPr>
      </w:pPr>
      <w:r>
        <w:rPr>
          <w:rFonts w:cs="Times New Roman"/>
          <w:color w:val="000000" w:themeColor="text1"/>
          <w:sz w:val="24"/>
          <w:szCs w:val="24"/>
          <w:lang w:val="en-US"/>
        </w:rPr>
        <w:t>Each prospective bidder is required to be an accredited or conditionally accredited member in good standing of the Canadian Security Association’s Canadian Accredited Security Contractor (CASC) program. Please refer to the Request for Tenders for details.</w:t>
      </w:r>
    </w:p>
    <w:p w:rsidR="00206770" w:rsidRPr="00010228" w:rsidRDefault="00792AED" w:rsidP="003554EB">
      <w:pPr>
        <w:rPr>
          <w:color w:val="000000"/>
          <w:sz w:val="24"/>
          <w:szCs w:val="24"/>
        </w:rPr>
      </w:pPr>
    </w:p>
    <w:p w:rsidR="00B23953" w:rsidRPr="00010228" w:rsidRDefault="00792AED" w:rsidP="003554EB">
      <w:pPr>
        <w:rPr>
          <w:color w:val="000000"/>
          <w:sz w:val="24"/>
          <w:szCs w:val="24"/>
        </w:rPr>
      </w:pPr>
    </w:p>
    <w:p w:rsidR="00010228" w:rsidRPr="00010228" w:rsidRDefault="00792AED" w:rsidP="00010228">
      <w:pPr>
        <w:rPr>
          <w:b/>
          <w:color w:val="000000"/>
          <w:sz w:val="24"/>
          <w:szCs w:val="24"/>
          <w:lang w:val="en-US"/>
        </w:rPr>
      </w:pPr>
      <w:r>
        <w:rPr>
          <w:b/>
          <w:sz w:val="24"/>
          <w:szCs w:val="24"/>
          <w:lang w:val="en-US"/>
        </w:rPr>
        <w:pict>
          <v:rect id="_x0000_i1026" style="width:0;height:1.5pt" o:hralign="center" o:hrstd="t" o:hr="t" fillcolor="#a0a0a0" stroked="f"/>
        </w:pict>
      </w:r>
    </w:p>
    <w:p w:rsidR="00B23953" w:rsidRPr="00010228" w:rsidRDefault="00792AED" w:rsidP="003554EB">
      <w:pPr>
        <w:rPr>
          <w:color w:val="000000"/>
          <w:sz w:val="24"/>
          <w:szCs w:val="24"/>
        </w:rPr>
      </w:pPr>
    </w:p>
    <w:p w:rsidR="00B23953" w:rsidRPr="00010228" w:rsidRDefault="00C53624" w:rsidP="003554EB">
      <w:pPr>
        <w:rPr>
          <w:b/>
          <w:sz w:val="24"/>
          <w:szCs w:val="24"/>
        </w:rPr>
      </w:pPr>
      <w:r>
        <w:rPr>
          <w:b/>
          <w:sz w:val="24"/>
          <w:szCs w:val="24"/>
        </w:rPr>
        <w:lastRenderedPageBreak/>
        <w:t>Tender wording that includes CASC Companies, but accreditation is optional for bidders:</w:t>
      </w:r>
    </w:p>
    <w:p w:rsidR="00B23953" w:rsidRPr="00010228" w:rsidRDefault="00792AED" w:rsidP="003554EB">
      <w:pPr>
        <w:rPr>
          <w:sz w:val="24"/>
          <w:szCs w:val="24"/>
        </w:rPr>
      </w:pPr>
    </w:p>
    <w:p w:rsidR="00B23953" w:rsidRPr="00010228" w:rsidRDefault="00C53624" w:rsidP="00B23953">
      <w:pPr>
        <w:rPr>
          <w:sz w:val="24"/>
          <w:szCs w:val="24"/>
        </w:rPr>
      </w:pPr>
      <w:r w:rsidRPr="00010228">
        <w:rPr>
          <w:sz w:val="24"/>
          <w:szCs w:val="24"/>
        </w:rPr>
        <w:t>Preference may be given to bidders that are accredited or conditionally accredited companies in good standing of the Canadian Security Association’s Canadian Accredited Security Contractor (CASC) program. Qualifying bidders are asked to include supporting documentation in the form of either:</w:t>
      </w:r>
    </w:p>
    <w:p w:rsidR="00B23953" w:rsidRPr="00010228" w:rsidRDefault="00792AED" w:rsidP="00B23953">
      <w:pPr>
        <w:rPr>
          <w:sz w:val="24"/>
          <w:szCs w:val="24"/>
        </w:rPr>
      </w:pPr>
    </w:p>
    <w:p w:rsidR="00B23953" w:rsidRPr="00010228" w:rsidRDefault="00C53624" w:rsidP="00B23953">
      <w:pPr>
        <w:pStyle w:val="ListParagraph"/>
        <w:numPr>
          <w:ilvl w:val="0"/>
          <w:numId w:val="4"/>
        </w:numPr>
        <w:spacing w:after="0" w:line="240" w:lineRule="auto"/>
        <w:rPr>
          <w:rFonts w:ascii="Calibri" w:hAnsi="Calibri"/>
          <w:color w:val="000000" w:themeColor="text1"/>
          <w:sz w:val="24"/>
          <w:szCs w:val="24"/>
        </w:rPr>
      </w:pPr>
      <w:r w:rsidRPr="00010228">
        <w:rPr>
          <w:rFonts w:ascii="Calibri" w:hAnsi="Calibri"/>
          <w:color w:val="000000" w:themeColor="text1"/>
          <w:sz w:val="24"/>
          <w:szCs w:val="24"/>
        </w:rPr>
        <w:t xml:space="preserve">a copy of the prospective bidder’s current and valid CASC accreditation certificate, in the case of accredited CASC Companies; or </w:t>
      </w:r>
    </w:p>
    <w:p w:rsidR="00B23953" w:rsidRPr="00010228" w:rsidRDefault="00C53624" w:rsidP="00B23953">
      <w:pPr>
        <w:pStyle w:val="ListParagraph"/>
        <w:numPr>
          <w:ilvl w:val="0"/>
          <w:numId w:val="4"/>
        </w:numPr>
        <w:spacing w:after="0" w:line="240" w:lineRule="auto"/>
        <w:rPr>
          <w:rFonts w:ascii="Calibri" w:hAnsi="Calibri"/>
          <w:color w:val="000000" w:themeColor="text1"/>
          <w:sz w:val="24"/>
          <w:szCs w:val="24"/>
        </w:rPr>
      </w:pPr>
      <w:proofErr w:type="gramStart"/>
      <w:r w:rsidRPr="00010228">
        <w:rPr>
          <w:rFonts w:ascii="Calibri" w:hAnsi="Calibri"/>
          <w:color w:val="000000" w:themeColor="text1"/>
          <w:sz w:val="24"/>
          <w:szCs w:val="24"/>
        </w:rPr>
        <w:t>a</w:t>
      </w:r>
      <w:proofErr w:type="gramEnd"/>
      <w:r w:rsidRPr="00010228">
        <w:rPr>
          <w:rFonts w:ascii="Calibri" w:hAnsi="Calibri"/>
          <w:color w:val="000000" w:themeColor="text1"/>
          <w:sz w:val="24"/>
          <w:szCs w:val="24"/>
        </w:rPr>
        <w:t xml:space="preserve"> letter from </w:t>
      </w:r>
      <w:r w:rsidRPr="00010228">
        <w:rPr>
          <w:rFonts w:ascii="Calibri" w:hAnsi="Calibri"/>
          <w:color w:val="000000" w:themeColor="text1"/>
          <w:sz w:val="24"/>
          <w:szCs w:val="24"/>
          <w:lang w:val="en-CA"/>
        </w:rPr>
        <w:t xml:space="preserve">the Canadian Security Association </w:t>
      </w:r>
      <w:r w:rsidRPr="00010228">
        <w:rPr>
          <w:rFonts w:ascii="Calibri" w:hAnsi="Calibri"/>
          <w:color w:val="000000" w:themeColor="text1"/>
          <w:sz w:val="24"/>
          <w:szCs w:val="24"/>
        </w:rPr>
        <w:t>confirming the prospective bidder’s conditional status, in the case of conditional CASC Companies.</w:t>
      </w:r>
    </w:p>
    <w:p w:rsidR="00B23953" w:rsidRPr="00010228" w:rsidRDefault="00792AED" w:rsidP="003554EB">
      <w:pPr>
        <w:rPr>
          <w:color w:val="000000"/>
          <w:sz w:val="24"/>
          <w:szCs w:val="24"/>
        </w:rPr>
      </w:pPr>
    </w:p>
    <w:sectPr w:rsidR="00B23953" w:rsidRPr="00010228" w:rsidSect="00717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2656"/>
    <w:multiLevelType w:val="hybridMultilevel"/>
    <w:tmpl w:val="7CECE04E"/>
    <w:lvl w:ilvl="0" w:tplc="9CCE1AAA">
      <w:start w:val="1"/>
      <w:numFmt w:val="lowerRoman"/>
      <w:lvlText w:val="(%1)"/>
      <w:lvlJc w:val="right"/>
      <w:pPr>
        <w:ind w:left="1080" w:hanging="360"/>
      </w:pPr>
      <w:rPr>
        <w:rFonts w:hint="default"/>
      </w:rPr>
    </w:lvl>
    <w:lvl w:ilvl="1" w:tplc="3802359C" w:tentative="1">
      <w:start w:val="1"/>
      <w:numFmt w:val="lowerLetter"/>
      <w:lvlText w:val="%2."/>
      <w:lvlJc w:val="left"/>
      <w:pPr>
        <w:ind w:left="1800" w:hanging="360"/>
      </w:pPr>
    </w:lvl>
    <w:lvl w:ilvl="2" w:tplc="07A46F2E" w:tentative="1">
      <w:start w:val="1"/>
      <w:numFmt w:val="lowerRoman"/>
      <w:lvlText w:val="%3."/>
      <w:lvlJc w:val="right"/>
      <w:pPr>
        <w:ind w:left="2520" w:hanging="180"/>
      </w:pPr>
    </w:lvl>
    <w:lvl w:ilvl="3" w:tplc="AE8243E0" w:tentative="1">
      <w:start w:val="1"/>
      <w:numFmt w:val="decimal"/>
      <w:lvlText w:val="%4."/>
      <w:lvlJc w:val="left"/>
      <w:pPr>
        <w:ind w:left="3240" w:hanging="360"/>
      </w:pPr>
    </w:lvl>
    <w:lvl w:ilvl="4" w:tplc="368CE66A" w:tentative="1">
      <w:start w:val="1"/>
      <w:numFmt w:val="lowerLetter"/>
      <w:lvlText w:val="%5."/>
      <w:lvlJc w:val="left"/>
      <w:pPr>
        <w:ind w:left="3960" w:hanging="360"/>
      </w:pPr>
    </w:lvl>
    <w:lvl w:ilvl="5" w:tplc="3036CD66" w:tentative="1">
      <w:start w:val="1"/>
      <w:numFmt w:val="lowerRoman"/>
      <w:lvlText w:val="%6."/>
      <w:lvlJc w:val="right"/>
      <w:pPr>
        <w:ind w:left="4680" w:hanging="180"/>
      </w:pPr>
    </w:lvl>
    <w:lvl w:ilvl="6" w:tplc="6F708058" w:tentative="1">
      <w:start w:val="1"/>
      <w:numFmt w:val="decimal"/>
      <w:lvlText w:val="%7."/>
      <w:lvlJc w:val="left"/>
      <w:pPr>
        <w:ind w:left="5400" w:hanging="360"/>
      </w:pPr>
    </w:lvl>
    <w:lvl w:ilvl="7" w:tplc="54DA851A" w:tentative="1">
      <w:start w:val="1"/>
      <w:numFmt w:val="lowerLetter"/>
      <w:lvlText w:val="%8."/>
      <w:lvlJc w:val="left"/>
      <w:pPr>
        <w:ind w:left="6120" w:hanging="360"/>
      </w:pPr>
    </w:lvl>
    <w:lvl w:ilvl="8" w:tplc="D89EA0E8" w:tentative="1">
      <w:start w:val="1"/>
      <w:numFmt w:val="lowerRoman"/>
      <w:lvlText w:val="%9."/>
      <w:lvlJc w:val="right"/>
      <w:pPr>
        <w:ind w:left="6840" w:hanging="180"/>
      </w:pPr>
    </w:lvl>
  </w:abstractNum>
  <w:abstractNum w:abstractNumId="1">
    <w:nsid w:val="42E76C23"/>
    <w:multiLevelType w:val="hybridMultilevel"/>
    <w:tmpl w:val="7CECE04E"/>
    <w:lvl w:ilvl="0" w:tplc="7680B268">
      <w:start w:val="1"/>
      <w:numFmt w:val="lowerRoman"/>
      <w:lvlText w:val="(%1)"/>
      <w:lvlJc w:val="right"/>
      <w:pPr>
        <w:ind w:left="1080" w:hanging="360"/>
      </w:pPr>
      <w:rPr>
        <w:rFonts w:hint="default"/>
      </w:rPr>
    </w:lvl>
    <w:lvl w:ilvl="1" w:tplc="C0865E62" w:tentative="1">
      <w:start w:val="1"/>
      <w:numFmt w:val="lowerLetter"/>
      <w:lvlText w:val="%2."/>
      <w:lvlJc w:val="left"/>
      <w:pPr>
        <w:ind w:left="1800" w:hanging="360"/>
      </w:pPr>
    </w:lvl>
    <w:lvl w:ilvl="2" w:tplc="37A87AC2" w:tentative="1">
      <w:start w:val="1"/>
      <w:numFmt w:val="lowerRoman"/>
      <w:lvlText w:val="%3."/>
      <w:lvlJc w:val="right"/>
      <w:pPr>
        <w:ind w:left="2520" w:hanging="180"/>
      </w:pPr>
    </w:lvl>
    <w:lvl w:ilvl="3" w:tplc="FBF0E298" w:tentative="1">
      <w:start w:val="1"/>
      <w:numFmt w:val="decimal"/>
      <w:lvlText w:val="%4."/>
      <w:lvlJc w:val="left"/>
      <w:pPr>
        <w:ind w:left="3240" w:hanging="360"/>
      </w:pPr>
    </w:lvl>
    <w:lvl w:ilvl="4" w:tplc="9CA4CE30" w:tentative="1">
      <w:start w:val="1"/>
      <w:numFmt w:val="lowerLetter"/>
      <w:lvlText w:val="%5."/>
      <w:lvlJc w:val="left"/>
      <w:pPr>
        <w:ind w:left="3960" w:hanging="360"/>
      </w:pPr>
    </w:lvl>
    <w:lvl w:ilvl="5" w:tplc="B1881A68" w:tentative="1">
      <w:start w:val="1"/>
      <w:numFmt w:val="lowerRoman"/>
      <w:lvlText w:val="%6."/>
      <w:lvlJc w:val="right"/>
      <w:pPr>
        <w:ind w:left="4680" w:hanging="180"/>
      </w:pPr>
    </w:lvl>
    <w:lvl w:ilvl="6" w:tplc="7180C2EA" w:tentative="1">
      <w:start w:val="1"/>
      <w:numFmt w:val="decimal"/>
      <w:lvlText w:val="%7."/>
      <w:lvlJc w:val="left"/>
      <w:pPr>
        <w:ind w:left="5400" w:hanging="360"/>
      </w:pPr>
    </w:lvl>
    <w:lvl w:ilvl="7" w:tplc="0E6818B6" w:tentative="1">
      <w:start w:val="1"/>
      <w:numFmt w:val="lowerLetter"/>
      <w:lvlText w:val="%8."/>
      <w:lvlJc w:val="left"/>
      <w:pPr>
        <w:ind w:left="6120" w:hanging="360"/>
      </w:pPr>
    </w:lvl>
    <w:lvl w:ilvl="8" w:tplc="8174A286" w:tentative="1">
      <w:start w:val="1"/>
      <w:numFmt w:val="lowerRoman"/>
      <w:lvlText w:val="%9."/>
      <w:lvlJc w:val="right"/>
      <w:pPr>
        <w:ind w:left="6840" w:hanging="180"/>
      </w:pPr>
    </w:lvl>
  </w:abstractNum>
  <w:abstractNum w:abstractNumId="2">
    <w:nsid w:val="57BA35BB"/>
    <w:multiLevelType w:val="hybridMultilevel"/>
    <w:tmpl w:val="607CD46E"/>
    <w:lvl w:ilvl="0" w:tplc="36802968">
      <w:start w:val="1"/>
      <w:numFmt w:val="decimal"/>
      <w:lvlText w:val="(%1)"/>
      <w:lvlJc w:val="left"/>
      <w:pPr>
        <w:ind w:left="744" w:hanging="384"/>
      </w:pPr>
      <w:rPr>
        <w:rFonts w:hint="default"/>
      </w:rPr>
    </w:lvl>
    <w:lvl w:ilvl="1" w:tplc="EC448354" w:tentative="1">
      <w:start w:val="1"/>
      <w:numFmt w:val="lowerLetter"/>
      <w:lvlText w:val="%2."/>
      <w:lvlJc w:val="left"/>
      <w:pPr>
        <w:ind w:left="1440" w:hanging="360"/>
      </w:pPr>
    </w:lvl>
    <w:lvl w:ilvl="2" w:tplc="9F26129C" w:tentative="1">
      <w:start w:val="1"/>
      <w:numFmt w:val="lowerRoman"/>
      <w:lvlText w:val="%3."/>
      <w:lvlJc w:val="right"/>
      <w:pPr>
        <w:ind w:left="2160" w:hanging="180"/>
      </w:pPr>
    </w:lvl>
    <w:lvl w:ilvl="3" w:tplc="42F64F34" w:tentative="1">
      <w:start w:val="1"/>
      <w:numFmt w:val="decimal"/>
      <w:lvlText w:val="%4."/>
      <w:lvlJc w:val="left"/>
      <w:pPr>
        <w:ind w:left="2880" w:hanging="360"/>
      </w:pPr>
    </w:lvl>
    <w:lvl w:ilvl="4" w:tplc="0E681600" w:tentative="1">
      <w:start w:val="1"/>
      <w:numFmt w:val="lowerLetter"/>
      <w:lvlText w:val="%5."/>
      <w:lvlJc w:val="left"/>
      <w:pPr>
        <w:ind w:left="3600" w:hanging="360"/>
      </w:pPr>
    </w:lvl>
    <w:lvl w:ilvl="5" w:tplc="4706099A" w:tentative="1">
      <w:start w:val="1"/>
      <w:numFmt w:val="lowerRoman"/>
      <w:lvlText w:val="%6."/>
      <w:lvlJc w:val="right"/>
      <w:pPr>
        <w:ind w:left="4320" w:hanging="180"/>
      </w:pPr>
    </w:lvl>
    <w:lvl w:ilvl="6" w:tplc="DA3A9F5A" w:tentative="1">
      <w:start w:val="1"/>
      <w:numFmt w:val="decimal"/>
      <w:lvlText w:val="%7."/>
      <w:lvlJc w:val="left"/>
      <w:pPr>
        <w:ind w:left="5040" w:hanging="360"/>
      </w:pPr>
    </w:lvl>
    <w:lvl w:ilvl="7" w:tplc="EFE0226C" w:tentative="1">
      <w:start w:val="1"/>
      <w:numFmt w:val="lowerLetter"/>
      <w:lvlText w:val="%8."/>
      <w:lvlJc w:val="left"/>
      <w:pPr>
        <w:ind w:left="5760" w:hanging="360"/>
      </w:pPr>
    </w:lvl>
    <w:lvl w:ilvl="8" w:tplc="CAFCA322" w:tentative="1">
      <w:start w:val="1"/>
      <w:numFmt w:val="lowerRoman"/>
      <w:lvlText w:val="%9."/>
      <w:lvlJc w:val="right"/>
      <w:pPr>
        <w:ind w:left="6480" w:hanging="180"/>
      </w:pPr>
    </w:lvl>
  </w:abstractNum>
  <w:abstractNum w:abstractNumId="3">
    <w:nsid w:val="6FDE7091"/>
    <w:multiLevelType w:val="multilevel"/>
    <w:tmpl w:val="1C52B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doNotTrackMoves/>
  <w:defaultTabStop w:val="720"/>
  <w:characterSpacingControl w:val="doNotCompress"/>
  <w:compat>
    <w:compatSetting w:name="compatibilityMode" w:uri="http://schemas.microsoft.com/office/word" w:val="12"/>
  </w:compat>
  <w:rsids>
    <w:rsidRoot w:val="0039464D"/>
    <w:rsid w:val="0039464D"/>
    <w:rsid w:val="00792AED"/>
    <w:rsid w:val="00A03B88"/>
    <w:rsid w:val="00AA5D8C"/>
    <w:rsid w:val="00C53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2B"/>
    <w:rPr>
      <w:rFonts w:cs="Calibri"/>
      <w:sz w:val="22"/>
      <w:szCs w:val="22"/>
    </w:rPr>
  </w:style>
  <w:style w:type="paragraph" w:styleId="Heading1">
    <w:name w:val="heading 1"/>
    <w:basedOn w:val="Normal"/>
    <w:next w:val="Normal"/>
    <w:link w:val="Heading1Char"/>
    <w:uiPriority w:val="9"/>
    <w:qFormat/>
    <w:rsid w:val="00AD648D"/>
    <w:pPr>
      <w:keepNext/>
      <w:spacing w:before="240" w:after="60" w:line="276" w:lineRule="auto"/>
      <w:jc w:val="both"/>
      <w:outlineLvl w:val="0"/>
    </w:pPr>
    <w:rPr>
      <w:rFonts w:ascii="Verdana" w:eastAsia="Times New Roman" w:hAnsi="Verdana" w:cs="Times New Roman"/>
      <w:b/>
      <w:bCs/>
      <w:kern w:val="32"/>
      <w:sz w:val="20"/>
      <w:szCs w:val="32"/>
    </w:rPr>
  </w:style>
  <w:style w:type="paragraph" w:styleId="Heading2">
    <w:name w:val="heading 2"/>
    <w:basedOn w:val="Normal"/>
    <w:next w:val="Normal"/>
    <w:link w:val="Heading2Char"/>
    <w:qFormat/>
    <w:rsid w:val="00AD648D"/>
    <w:pPr>
      <w:suppressAutoHyphens/>
      <w:spacing w:before="280" w:after="280"/>
      <w:jc w:val="both"/>
      <w:outlineLvl w:val="1"/>
    </w:pPr>
    <w:rPr>
      <w:rFonts w:ascii="Verdana" w:eastAsia="Times New Roman" w:hAnsi="Verdana" w:cs="Times New Roman"/>
      <w:bCs/>
      <w:i/>
      <w:sz w:val="20"/>
      <w:szCs w:val="36"/>
      <w:u w:val="single"/>
      <w:lang w:val="en-GB" w:eastAsia="ar-SA"/>
    </w:rPr>
  </w:style>
  <w:style w:type="paragraph" w:styleId="Heading3">
    <w:name w:val="heading 3"/>
    <w:basedOn w:val="Normal"/>
    <w:next w:val="Normal"/>
    <w:link w:val="Heading3Char"/>
    <w:uiPriority w:val="9"/>
    <w:unhideWhenUsed/>
    <w:qFormat/>
    <w:rsid w:val="00AD648D"/>
    <w:pPr>
      <w:keepNext/>
      <w:spacing w:before="240" w:after="60" w:line="276" w:lineRule="auto"/>
      <w:jc w:val="both"/>
      <w:outlineLvl w:val="2"/>
    </w:pPr>
    <w:rPr>
      <w:rFonts w:ascii="Verdana" w:eastAsia="Times New Roman" w:hAnsi="Verdana" w:cs="Times New Roman"/>
      <w:b/>
      <w:bCs/>
      <w:sz w:val="20"/>
      <w:szCs w:val="26"/>
    </w:rPr>
  </w:style>
  <w:style w:type="paragraph" w:styleId="Heading4">
    <w:name w:val="heading 4"/>
    <w:basedOn w:val="Normal"/>
    <w:next w:val="Normal"/>
    <w:link w:val="Heading4Char"/>
    <w:uiPriority w:val="9"/>
    <w:unhideWhenUsed/>
    <w:qFormat/>
    <w:rsid w:val="00AD648D"/>
    <w:pPr>
      <w:pBdr>
        <w:top w:val="single" w:sz="18" w:space="1" w:color="auto"/>
        <w:left w:val="single" w:sz="18" w:space="4" w:color="auto"/>
        <w:bottom w:val="single" w:sz="18" w:space="1" w:color="auto"/>
        <w:right w:val="single" w:sz="18" w:space="4" w:color="auto"/>
      </w:pBdr>
      <w:shd w:val="clear" w:color="auto" w:fill="000000"/>
      <w:tabs>
        <w:tab w:val="left" w:pos="1530"/>
      </w:tabs>
      <w:spacing w:after="240"/>
      <w:jc w:val="both"/>
      <w:outlineLvl w:val="3"/>
    </w:pPr>
    <w:rPr>
      <w:rFonts w:ascii="Verdana" w:eastAsia="Times New Roman" w:hAnsi="Verdana" w:cs="Arial"/>
      <w:b/>
      <w:bCs/>
      <w:color w:val="FFFFFF"/>
      <w:kern w:val="22"/>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48D"/>
    <w:rPr>
      <w:rFonts w:ascii="Verdana" w:eastAsia="Times New Roman" w:hAnsi="Verdana"/>
      <w:b/>
      <w:bCs/>
      <w:kern w:val="32"/>
      <w:szCs w:val="32"/>
    </w:rPr>
  </w:style>
  <w:style w:type="character" w:customStyle="1" w:styleId="Heading2Char">
    <w:name w:val="Heading 2 Char"/>
    <w:basedOn w:val="DefaultParagraphFont"/>
    <w:link w:val="Heading2"/>
    <w:rsid w:val="00AD648D"/>
    <w:rPr>
      <w:rFonts w:ascii="Verdana" w:eastAsia="Times New Roman" w:hAnsi="Verdana"/>
      <w:bCs/>
      <w:i/>
      <w:szCs w:val="36"/>
      <w:u w:val="single"/>
      <w:lang w:val="en-GB" w:eastAsia="ar-SA"/>
    </w:rPr>
  </w:style>
  <w:style w:type="character" w:customStyle="1" w:styleId="Heading3Char">
    <w:name w:val="Heading 3 Char"/>
    <w:basedOn w:val="DefaultParagraphFont"/>
    <w:link w:val="Heading3"/>
    <w:uiPriority w:val="9"/>
    <w:rsid w:val="00AD648D"/>
    <w:rPr>
      <w:rFonts w:ascii="Verdana" w:eastAsia="Times New Roman" w:hAnsi="Verdana"/>
      <w:b/>
      <w:bCs/>
      <w:szCs w:val="26"/>
    </w:rPr>
  </w:style>
  <w:style w:type="character" w:customStyle="1" w:styleId="Heading4Char">
    <w:name w:val="Heading 4 Char"/>
    <w:basedOn w:val="DefaultParagraphFont"/>
    <w:link w:val="Heading4"/>
    <w:uiPriority w:val="9"/>
    <w:rsid w:val="00AD648D"/>
    <w:rPr>
      <w:rFonts w:ascii="Verdana" w:eastAsia="Times New Roman" w:hAnsi="Verdana" w:cs="Arial"/>
      <w:b/>
      <w:bCs/>
      <w:color w:val="FFFFFF"/>
      <w:kern w:val="22"/>
      <w:szCs w:val="18"/>
      <w:shd w:val="clear" w:color="auto" w:fill="000000"/>
    </w:rPr>
  </w:style>
  <w:style w:type="paragraph" w:styleId="Title">
    <w:name w:val="Title"/>
    <w:basedOn w:val="Normal"/>
    <w:next w:val="Normal"/>
    <w:link w:val="TitleChar"/>
    <w:uiPriority w:val="10"/>
    <w:qFormat/>
    <w:rsid w:val="00AD648D"/>
    <w:pPr>
      <w:spacing w:before="240" w:after="60" w:line="276" w:lineRule="auto"/>
      <w:jc w:val="center"/>
      <w:outlineLvl w:val="1"/>
    </w:pPr>
    <w:rPr>
      <w:rFonts w:ascii="Arial" w:eastAsia="Times New Roman" w:hAnsi="Arial" w:cs="Times New Roman"/>
      <w:b/>
      <w:bCs/>
      <w:kern w:val="28"/>
      <w:sz w:val="20"/>
      <w:szCs w:val="32"/>
    </w:rPr>
  </w:style>
  <w:style w:type="character" w:customStyle="1" w:styleId="TitleChar">
    <w:name w:val="Title Char"/>
    <w:basedOn w:val="DefaultParagraphFont"/>
    <w:link w:val="Title"/>
    <w:uiPriority w:val="10"/>
    <w:rsid w:val="00AD648D"/>
    <w:rPr>
      <w:rFonts w:ascii="Arial" w:eastAsia="Times New Roman" w:hAnsi="Arial" w:cs="Times New Roman"/>
      <w:b/>
      <w:bCs/>
      <w:kern w:val="28"/>
      <w:szCs w:val="32"/>
    </w:rPr>
  </w:style>
  <w:style w:type="paragraph" w:styleId="Subtitle">
    <w:name w:val="Subtitle"/>
    <w:aliases w:val="Title 2"/>
    <w:basedOn w:val="Normal"/>
    <w:next w:val="Normal"/>
    <w:link w:val="SubtitleChar"/>
    <w:uiPriority w:val="11"/>
    <w:qFormat/>
    <w:rsid w:val="00AD648D"/>
    <w:pPr>
      <w:spacing w:before="240" w:after="60" w:line="276" w:lineRule="auto"/>
      <w:jc w:val="center"/>
      <w:outlineLvl w:val="2"/>
    </w:pPr>
    <w:rPr>
      <w:rFonts w:ascii="Arial" w:eastAsia="Times New Roman" w:hAnsi="Arial" w:cs="Times New Roman"/>
      <w:b/>
      <w:sz w:val="20"/>
      <w:szCs w:val="24"/>
    </w:rPr>
  </w:style>
  <w:style w:type="character" w:customStyle="1" w:styleId="SubtitleChar">
    <w:name w:val="Subtitle Char"/>
    <w:aliases w:val="Title 2 Char"/>
    <w:basedOn w:val="DefaultParagraphFont"/>
    <w:link w:val="Subtitle"/>
    <w:uiPriority w:val="11"/>
    <w:rsid w:val="00AD648D"/>
    <w:rPr>
      <w:rFonts w:ascii="Arial" w:eastAsia="Times New Roman" w:hAnsi="Arial" w:cs="Times New Roman"/>
      <w:b/>
      <w:szCs w:val="24"/>
    </w:rPr>
  </w:style>
  <w:style w:type="character" w:styleId="Strong">
    <w:name w:val="Strong"/>
    <w:basedOn w:val="DefaultParagraphFont"/>
    <w:qFormat/>
    <w:rsid w:val="00AD648D"/>
    <w:rPr>
      <w:b/>
      <w:bCs/>
    </w:rPr>
  </w:style>
  <w:style w:type="paragraph" w:styleId="ListParagraph">
    <w:name w:val="List Paragraph"/>
    <w:basedOn w:val="Normal"/>
    <w:uiPriority w:val="34"/>
    <w:qFormat/>
    <w:rsid w:val="00AD648D"/>
    <w:pPr>
      <w:spacing w:after="200" w:line="276" w:lineRule="auto"/>
      <w:ind w:left="720"/>
      <w:contextualSpacing/>
      <w:jc w:val="both"/>
    </w:pPr>
    <w:rPr>
      <w:rFonts w:ascii="Verdana" w:hAnsi="Verdana" w:cs="Times New Roman"/>
      <w:sz w:val="20"/>
      <w:lang w:val="en-US" w:eastAsia="en-US"/>
    </w:rPr>
  </w:style>
  <w:style w:type="paragraph" w:styleId="TOCHeading">
    <w:name w:val="TOC Heading"/>
    <w:basedOn w:val="Heading1"/>
    <w:next w:val="Normal"/>
    <w:uiPriority w:val="39"/>
    <w:semiHidden/>
    <w:unhideWhenUsed/>
    <w:qFormat/>
    <w:rsid w:val="00AD648D"/>
    <w:pPr>
      <w:keepLines/>
      <w:spacing w:before="480" w:after="0"/>
      <w:outlineLvl w:val="9"/>
    </w:pPr>
    <w:rPr>
      <w:rFonts w:ascii="Cambria" w:hAnsi="Cambria"/>
      <w:color w:val="365F91"/>
      <w:kern w:val="0"/>
      <w:sz w:val="28"/>
      <w:szCs w:val="28"/>
      <w:lang w:val="en-US" w:eastAsia="en-US"/>
    </w:rPr>
  </w:style>
  <w:style w:type="character" w:customStyle="1" w:styleId="Prompt">
    <w:name w:val="Prompt"/>
    <w:basedOn w:val="DefaultParagraphFont"/>
    <w:rsid w:val="00FA7219"/>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940B4-A351-47AD-8C46-21E488EF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2013-04-16T18:08:00Z</dcterms:created>
  <dcterms:modified xsi:type="dcterms:W3CDTF">2014-02-20T14:58:00Z</dcterms:modified>
</cp:coreProperties>
</file>